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352FE" w14:textId="77777777"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14:paraId="5A338774" w14:textId="77777777" w:rsidR="00E238C2" w:rsidRPr="0034705D" w:rsidRDefault="00E238C2">
      <w:pPr>
        <w:jc w:val="both"/>
        <w:rPr>
          <w:b/>
          <w:sz w:val="24"/>
          <w:u w:val="single"/>
        </w:rPr>
      </w:pPr>
    </w:p>
    <w:p w14:paraId="05E05B4A" w14:textId="77777777"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14:paraId="0B1AD9D0" w14:textId="77777777" w:rsidR="00E238C2" w:rsidRPr="0034705D" w:rsidRDefault="00E238C2">
      <w:pPr>
        <w:pStyle w:val="BodyText"/>
        <w:rPr>
          <w:b/>
          <w:bCs/>
          <w:sz w:val="24"/>
          <w:u w:val="single"/>
        </w:rPr>
      </w:pPr>
    </w:p>
    <w:p w14:paraId="2022AF52" w14:textId="77777777" w:rsidR="00E238C2" w:rsidRDefault="005E1FBC">
      <w:pPr>
        <w:pStyle w:val="BodyText"/>
        <w:rPr>
          <w:b/>
          <w:bCs/>
          <w:sz w:val="24"/>
          <w:u w:val="single"/>
        </w:rPr>
      </w:pPr>
      <w:r w:rsidRPr="0034705D">
        <w:rPr>
          <w:b/>
          <w:bCs/>
          <w:sz w:val="24"/>
          <w:u w:val="single"/>
        </w:rPr>
        <w:t xml:space="preserve">QUESTION NO. </w:t>
      </w:r>
      <w:r w:rsidR="00FA3B21">
        <w:rPr>
          <w:b/>
          <w:bCs/>
          <w:sz w:val="24"/>
          <w:u w:val="single"/>
        </w:rPr>
        <w:t>1</w:t>
      </w:r>
      <w:r w:rsidR="005938AC">
        <w:rPr>
          <w:b/>
          <w:bCs/>
          <w:sz w:val="24"/>
          <w:u w:val="single"/>
        </w:rPr>
        <w:t>2</w:t>
      </w:r>
      <w:r w:rsidR="00750265">
        <w:rPr>
          <w:b/>
          <w:bCs/>
          <w:sz w:val="24"/>
          <w:u w:val="single"/>
        </w:rPr>
        <w:t>7</w:t>
      </w:r>
      <w:r w:rsidR="008A7169">
        <w:rPr>
          <w:b/>
          <w:bCs/>
          <w:sz w:val="24"/>
          <w:u w:val="single"/>
        </w:rPr>
        <w:t>9</w:t>
      </w:r>
    </w:p>
    <w:p w14:paraId="6DAC9D73" w14:textId="77777777" w:rsidR="003548B4" w:rsidRDefault="003548B4">
      <w:pPr>
        <w:pStyle w:val="BodyText"/>
        <w:rPr>
          <w:b/>
          <w:bCs/>
          <w:sz w:val="24"/>
          <w:u w:val="single"/>
        </w:rPr>
      </w:pPr>
    </w:p>
    <w:p w14:paraId="12213B9E" w14:textId="77777777"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23BF4">
        <w:rPr>
          <w:b/>
          <w:bCs/>
          <w:sz w:val="24"/>
          <w:u w:val="single"/>
        </w:rPr>
        <w:t>2</w:t>
      </w:r>
      <w:r w:rsidR="005938AC">
        <w:rPr>
          <w:b/>
          <w:bCs/>
          <w:sz w:val="24"/>
          <w:u w:val="single"/>
        </w:rPr>
        <w:t>6</w:t>
      </w:r>
      <w:r w:rsidR="00145C76">
        <w:rPr>
          <w:b/>
          <w:bCs/>
          <w:sz w:val="24"/>
          <w:u w:val="single"/>
        </w:rPr>
        <w:t xml:space="preserve"> </w:t>
      </w:r>
      <w:r w:rsidR="00952995">
        <w:rPr>
          <w:b/>
          <w:bCs/>
          <w:sz w:val="24"/>
          <w:u w:val="single"/>
        </w:rPr>
        <w:t>APRIL</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14:paraId="1FF8D32C" w14:textId="77777777" w:rsidR="00E238C2" w:rsidRPr="00294557" w:rsidRDefault="00E238C2" w:rsidP="006664AE">
      <w:pPr>
        <w:spacing w:after="240"/>
        <w:rPr>
          <w:b/>
          <w:bCs/>
          <w:sz w:val="24"/>
          <w:u w:val="single"/>
        </w:rPr>
      </w:pPr>
      <w:r w:rsidRPr="00294557">
        <w:rPr>
          <w:b/>
          <w:bCs/>
          <w:sz w:val="24"/>
          <w:u w:val="single"/>
        </w:rPr>
        <w:t xml:space="preserve">(INTERNAL QUESTION PAPER NO. </w:t>
      </w:r>
      <w:r w:rsidR="00023BF4">
        <w:rPr>
          <w:b/>
          <w:bCs/>
          <w:sz w:val="24"/>
          <w:u w:val="single"/>
        </w:rPr>
        <w:t>1</w:t>
      </w:r>
      <w:r w:rsidR="005938AC">
        <w:rPr>
          <w:b/>
          <w:bCs/>
          <w:sz w:val="24"/>
          <w:u w:val="single"/>
        </w:rPr>
        <w:t>3</w:t>
      </w:r>
      <w:r w:rsidRPr="00294557">
        <w:rPr>
          <w:b/>
          <w:bCs/>
          <w:sz w:val="24"/>
          <w:u w:val="single"/>
        </w:rPr>
        <w:t>)</w:t>
      </w:r>
    </w:p>
    <w:p w14:paraId="27CA105C" w14:textId="77777777" w:rsidR="008A7169" w:rsidRPr="008A7169" w:rsidRDefault="008A7169" w:rsidP="008A7169">
      <w:pPr>
        <w:spacing w:before="100" w:beforeAutospacing="1" w:after="100" w:afterAutospacing="1"/>
        <w:ind w:left="720" w:hanging="720"/>
        <w:jc w:val="both"/>
        <w:outlineLvl w:val="0"/>
        <w:rPr>
          <w:b/>
          <w:sz w:val="24"/>
          <w:u w:val="single"/>
        </w:rPr>
      </w:pPr>
      <w:r w:rsidRPr="008A7169">
        <w:rPr>
          <w:b/>
          <w:sz w:val="24"/>
          <w:u w:val="single"/>
        </w:rPr>
        <w:t>Ms D Carter (Cope) to ask the Minister of Health:</w:t>
      </w:r>
    </w:p>
    <w:p w14:paraId="0DE256F1" w14:textId="77777777" w:rsidR="008A7169" w:rsidRPr="008A7169" w:rsidRDefault="008A7169" w:rsidP="008A7169">
      <w:pPr>
        <w:pStyle w:val="NormalWeb"/>
        <w:ind w:left="709" w:hanging="720"/>
        <w:jc w:val="both"/>
        <w:rPr>
          <w:rFonts w:ascii="Arial" w:hAnsi="Arial" w:cs="Arial"/>
        </w:rPr>
      </w:pPr>
      <w:r w:rsidRPr="008A7169">
        <w:rPr>
          <w:rFonts w:ascii="Arial" w:hAnsi="Arial" w:cs="Arial"/>
        </w:rPr>
        <w:t>(1)</w:t>
      </w:r>
      <w:r w:rsidRPr="008A7169">
        <w:rPr>
          <w:rFonts w:ascii="Arial" w:hAnsi="Arial" w:cs="Arial"/>
        </w:rPr>
        <w:tab/>
        <w:t>With reference to the SA Law Commission (SALC)’s work (details furnished) into end-of-life decisions and the SALC not making any recommendation on active voluntary euthanasia, (a) what is the policy position of his department on (i) managing the pain of terminally-ill patients and the doctrine of double effect, (ii) withholding and withdrawing life-sustaining treatment from patients at the request of a patient who is mentally competent to make such decisions (aa) personally or (bb) by means of an Advance Directive, commonly referred to as passive euthanasia and (b) would his department support the introduction of legislation on assisted dying, commonly referred to as active voluntary euthanasia;</w:t>
      </w:r>
    </w:p>
    <w:p w14:paraId="65BE28CF" w14:textId="7BEBDB5F" w:rsidR="00E238C2" w:rsidRPr="003F4B65" w:rsidRDefault="008A7169" w:rsidP="003F4B65">
      <w:pPr>
        <w:spacing w:before="100" w:beforeAutospacing="1" w:after="100" w:afterAutospacing="1"/>
        <w:ind w:left="709" w:hanging="698"/>
        <w:jc w:val="both"/>
        <w:rPr>
          <w:sz w:val="20"/>
          <w:szCs w:val="20"/>
          <w:u w:val="single"/>
        </w:rPr>
      </w:pPr>
      <w:r w:rsidRPr="008A7169">
        <w:rPr>
          <w:sz w:val="24"/>
        </w:rPr>
        <w:t>(2)</w:t>
      </w:r>
      <w:r w:rsidRPr="008A7169">
        <w:rPr>
          <w:sz w:val="24"/>
        </w:rPr>
        <w:tab/>
        <w:t>whether he has found, in the interest of patients, their families and medical practitioners, that there is a need to clarify all or some of the aforementioned matters legislatively to ensure greater clarity and protection for all concerned; if not, what is the position in this regard; if so, w</w:t>
      </w:r>
      <w:r>
        <w:rPr>
          <w:sz w:val="24"/>
        </w:rPr>
        <w:t>hat are the relevant details?</w:t>
      </w:r>
      <w:r w:rsidR="003F4B65">
        <w:rPr>
          <w:sz w:val="24"/>
        </w:rPr>
        <w:tab/>
      </w:r>
      <w:r w:rsidR="003F4B65">
        <w:rPr>
          <w:sz w:val="24"/>
        </w:rPr>
        <w:tab/>
      </w:r>
      <w:r w:rsidR="003F4B65">
        <w:rPr>
          <w:sz w:val="24"/>
        </w:rPr>
        <w:tab/>
      </w:r>
      <w:r w:rsidR="003F4B65">
        <w:rPr>
          <w:sz w:val="24"/>
        </w:rPr>
        <w:tab/>
      </w:r>
      <w:r w:rsidR="003F4B65">
        <w:rPr>
          <w:sz w:val="24"/>
        </w:rPr>
        <w:tab/>
      </w:r>
      <w:bookmarkStart w:id="0" w:name="_GoBack"/>
      <w:bookmarkEnd w:id="0"/>
      <w:r w:rsidR="007E6896" w:rsidRPr="003F4B65">
        <w:rPr>
          <w:color w:val="000000"/>
          <w:sz w:val="20"/>
          <w:szCs w:val="20"/>
        </w:rPr>
        <w:t>N</w:t>
      </w:r>
      <w:r w:rsidR="001651E2" w:rsidRPr="003F4B65">
        <w:rPr>
          <w:color w:val="000000"/>
          <w:sz w:val="20"/>
          <w:szCs w:val="20"/>
        </w:rPr>
        <w:t>W</w:t>
      </w:r>
      <w:r w:rsidR="00023BF4" w:rsidRPr="003F4B65">
        <w:rPr>
          <w:color w:val="000000"/>
          <w:sz w:val="20"/>
          <w:szCs w:val="20"/>
        </w:rPr>
        <w:t>1</w:t>
      </w:r>
      <w:r w:rsidR="005938AC" w:rsidRPr="003F4B65">
        <w:rPr>
          <w:color w:val="000000"/>
          <w:sz w:val="20"/>
          <w:szCs w:val="20"/>
        </w:rPr>
        <w:t>3</w:t>
      </w:r>
      <w:r w:rsidR="006D3C72" w:rsidRPr="003F4B65">
        <w:rPr>
          <w:color w:val="000000"/>
          <w:sz w:val="20"/>
          <w:szCs w:val="20"/>
        </w:rPr>
        <w:t>7</w:t>
      </w:r>
      <w:r w:rsidRPr="003F4B65">
        <w:rPr>
          <w:color w:val="000000"/>
          <w:sz w:val="20"/>
          <w:szCs w:val="20"/>
        </w:rPr>
        <w:t>9</w:t>
      </w:r>
      <w:r w:rsidR="009D2E42" w:rsidRPr="003F4B65">
        <w:rPr>
          <w:color w:val="000000"/>
          <w:sz w:val="20"/>
          <w:szCs w:val="20"/>
        </w:rPr>
        <w:t>E</w:t>
      </w:r>
      <w:r w:rsidR="00E238C2" w:rsidRPr="003F4B65">
        <w:rPr>
          <w:color w:val="000000"/>
          <w:sz w:val="20"/>
          <w:szCs w:val="20"/>
        </w:rPr>
        <w:t xml:space="preserve"> </w:t>
      </w:r>
    </w:p>
    <w:p w14:paraId="4B306743" w14:textId="77777777" w:rsidR="00927732" w:rsidRPr="00CA0154" w:rsidRDefault="00E238C2" w:rsidP="00CA0154">
      <w:pPr>
        <w:rPr>
          <w:b/>
          <w:bCs/>
          <w:sz w:val="24"/>
          <w:u w:val="single"/>
          <w:lang w:val="en-US"/>
        </w:rPr>
      </w:pPr>
      <w:r w:rsidRPr="0034705D">
        <w:rPr>
          <w:b/>
          <w:bCs/>
          <w:sz w:val="24"/>
          <w:u w:val="single"/>
          <w:lang w:val="en-US"/>
        </w:rPr>
        <w:t>REPLY:</w:t>
      </w:r>
    </w:p>
    <w:p w14:paraId="1AF65BEB" w14:textId="77777777" w:rsidR="006D3C72" w:rsidRDefault="00D92501" w:rsidP="00D92501">
      <w:pPr>
        <w:spacing w:before="100" w:beforeAutospacing="1" w:after="100" w:afterAutospacing="1"/>
        <w:jc w:val="both"/>
        <w:rPr>
          <w:sz w:val="24"/>
          <w:lang w:val="af-ZA"/>
        </w:rPr>
      </w:pPr>
      <w:r>
        <w:rPr>
          <w:sz w:val="24"/>
          <w:lang w:val="af-ZA"/>
        </w:rPr>
        <w:t>(1)</w:t>
      </w:r>
      <w:r>
        <w:rPr>
          <w:sz w:val="24"/>
          <w:lang w:val="af-ZA"/>
        </w:rPr>
        <w:tab/>
        <w:t>(a)</w:t>
      </w:r>
      <w:r>
        <w:rPr>
          <w:sz w:val="24"/>
          <w:lang w:val="af-ZA"/>
        </w:rPr>
        <w:tab/>
        <w:t>The policy position of the Department on -</w:t>
      </w:r>
    </w:p>
    <w:p w14:paraId="78311365" w14:textId="77777777" w:rsidR="00D92501" w:rsidRDefault="00D92501" w:rsidP="00D92501">
      <w:pPr>
        <w:tabs>
          <w:tab w:val="left" w:pos="1418"/>
        </w:tabs>
        <w:spacing w:before="100" w:beforeAutospacing="1" w:after="100" w:afterAutospacing="1"/>
        <w:ind w:left="2127" w:hanging="2127"/>
        <w:jc w:val="both"/>
        <w:rPr>
          <w:sz w:val="24"/>
          <w:lang w:val="af-ZA"/>
        </w:rPr>
      </w:pPr>
      <w:r>
        <w:rPr>
          <w:sz w:val="24"/>
          <w:lang w:val="af-ZA"/>
        </w:rPr>
        <w:tab/>
        <w:t>(i)</w:t>
      </w:r>
      <w:r>
        <w:rPr>
          <w:sz w:val="24"/>
          <w:lang w:val="af-ZA"/>
        </w:rPr>
        <w:tab/>
        <w:t>Managing the pain of terminally-ill patients is obtained from the World Health Organisation's resolution of Palliative Care. Terminally-ill patients must be provided adequate analgesia to stay from pain until the end.</w:t>
      </w:r>
    </w:p>
    <w:p w14:paraId="0DC1FF68" w14:textId="77777777" w:rsidR="00D92501" w:rsidRDefault="00D92501" w:rsidP="00D92501">
      <w:pPr>
        <w:tabs>
          <w:tab w:val="left" w:pos="1418"/>
        </w:tabs>
        <w:spacing w:before="100" w:beforeAutospacing="1" w:after="100" w:afterAutospacing="1"/>
        <w:ind w:left="2127" w:hanging="2127"/>
        <w:jc w:val="both"/>
        <w:rPr>
          <w:sz w:val="24"/>
          <w:lang w:val="af-ZA"/>
        </w:rPr>
      </w:pPr>
      <w:r>
        <w:rPr>
          <w:sz w:val="24"/>
          <w:lang w:val="af-ZA"/>
        </w:rPr>
        <w:tab/>
        <w:t>(ii)</w:t>
      </w:r>
      <w:r>
        <w:rPr>
          <w:sz w:val="24"/>
          <w:lang w:val="af-ZA"/>
        </w:rPr>
        <w:tab/>
        <w:t>withholding and withdrawing life-sustaining treatment is a decision taken by the treating doctor and must only be based on his or her clinical evaluation and not on anybody's request.</w:t>
      </w:r>
    </w:p>
    <w:p w14:paraId="666FFA0B" w14:textId="77777777" w:rsidR="00D92501" w:rsidRPr="00D92501" w:rsidRDefault="00D92501" w:rsidP="00D92501">
      <w:pPr>
        <w:tabs>
          <w:tab w:val="left" w:pos="709"/>
          <w:tab w:val="left" w:pos="1418"/>
        </w:tabs>
        <w:spacing w:before="100" w:beforeAutospacing="1" w:after="100" w:afterAutospacing="1"/>
        <w:ind w:left="2127" w:hanging="2127"/>
        <w:jc w:val="both"/>
        <w:rPr>
          <w:sz w:val="24"/>
          <w:lang w:val="af-ZA"/>
        </w:rPr>
      </w:pPr>
      <w:r>
        <w:rPr>
          <w:sz w:val="24"/>
          <w:lang w:val="af-ZA"/>
        </w:rPr>
        <w:tab/>
        <w:t>(b)</w:t>
      </w:r>
      <w:r>
        <w:rPr>
          <w:sz w:val="24"/>
          <w:lang w:val="af-ZA"/>
        </w:rPr>
        <w:tab/>
        <w:t>No.</w:t>
      </w:r>
    </w:p>
    <w:p w14:paraId="70D859DA" w14:textId="77777777" w:rsidR="008A7169" w:rsidRDefault="00D92501" w:rsidP="008A7169">
      <w:pPr>
        <w:spacing w:before="100" w:beforeAutospacing="1" w:after="100" w:afterAutospacing="1"/>
        <w:ind w:left="720" w:hanging="720"/>
        <w:jc w:val="both"/>
        <w:outlineLvl w:val="0"/>
        <w:rPr>
          <w:bCs/>
          <w:sz w:val="24"/>
        </w:rPr>
      </w:pPr>
      <w:r>
        <w:rPr>
          <w:bCs/>
          <w:sz w:val="24"/>
        </w:rPr>
        <w:t>(2)</w:t>
      </w:r>
      <w:r>
        <w:rPr>
          <w:bCs/>
          <w:sz w:val="24"/>
        </w:rPr>
        <w:tab/>
        <w:t>Our policy on terminally-ill patients is adequately outlined in the Palliative Care policy.</w:t>
      </w:r>
    </w:p>
    <w:p w14:paraId="36FBE294" w14:textId="77777777" w:rsidR="00D92501" w:rsidRDefault="00D92501" w:rsidP="00C47DA6">
      <w:pPr>
        <w:pStyle w:val="BodyText"/>
        <w:rPr>
          <w:sz w:val="24"/>
          <w:lang w:val="en-GB"/>
        </w:rPr>
      </w:pPr>
    </w:p>
    <w:p w14:paraId="78300E45" w14:textId="77777777"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377B7" w14:textId="77777777" w:rsidR="00772F11" w:rsidRDefault="00772F11">
      <w:r>
        <w:separator/>
      </w:r>
    </w:p>
  </w:endnote>
  <w:endnote w:type="continuationSeparator" w:id="0">
    <w:p w14:paraId="793EC7B8" w14:textId="77777777" w:rsidR="00772F11" w:rsidRDefault="0077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4DA5B" w14:textId="77777777" w:rsidR="00A2032B" w:rsidRDefault="0008017B">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14:paraId="66997B0C" w14:textId="77777777" w:rsidR="00A2032B" w:rsidRDefault="00A20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27C96" w14:textId="77777777" w:rsidR="00A2032B" w:rsidRDefault="0008017B">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8A7169">
      <w:rPr>
        <w:rStyle w:val="PageNumber"/>
        <w:noProof/>
        <w:lang w:val="en-US"/>
      </w:rPr>
      <w:t>4</w:t>
    </w:r>
    <w:r>
      <w:rPr>
        <w:rStyle w:val="PageNumber"/>
        <w:lang w:val="en-US"/>
      </w:rPr>
      <w:fldChar w:fldCharType="end"/>
    </w:r>
  </w:p>
  <w:p w14:paraId="6ED255FD" w14:textId="77777777" w:rsidR="00A2032B" w:rsidRDefault="00A20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06A58" w14:textId="77777777" w:rsidR="00772F11" w:rsidRDefault="00772F11">
      <w:r>
        <w:separator/>
      </w:r>
    </w:p>
  </w:footnote>
  <w:footnote w:type="continuationSeparator" w:id="0">
    <w:p w14:paraId="6D372750" w14:textId="77777777" w:rsidR="00772F11" w:rsidRDefault="00772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4C91"/>
    <w:rsid w:val="00007447"/>
    <w:rsid w:val="00012AE9"/>
    <w:rsid w:val="000153FE"/>
    <w:rsid w:val="00023BF4"/>
    <w:rsid w:val="00025DC9"/>
    <w:rsid w:val="0004183B"/>
    <w:rsid w:val="00056AD2"/>
    <w:rsid w:val="0005758A"/>
    <w:rsid w:val="00067DAB"/>
    <w:rsid w:val="00072404"/>
    <w:rsid w:val="0007341B"/>
    <w:rsid w:val="0008017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F059B"/>
    <w:rsid w:val="000F2F2D"/>
    <w:rsid w:val="000F3BF5"/>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E7D"/>
    <w:rsid w:val="002A5288"/>
    <w:rsid w:val="002B20CB"/>
    <w:rsid w:val="002B32D0"/>
    <w:rsid w:val="002B366B"/>
    <w:rsid w:val="002C7F1D"/>
    <w:rsid w:val="002E3FA9"/>
    <w:rsid w:val="002F747D"/>
    <w:rsid w:val="00300051"/>
    <w:rsid w:val="0030381C"/>
    <w:rsid w:val="00311920"/>
    <w:rsid w:val="003157A0"/>
    <w:rsid w:val="0031728A"/>
    <w:rsid w:val="0031798D"/>
    <w:rsid w:val="003261BA"/>
    <w:rsid w:val="00330A1B"/>
    <w:rsid w:val="0034705D"/>
    <w:rsid w:val="00347418"/>
    <w:rsid w:val="003548B4"/>
    <w:rsid w:val="00355BB7"/>
    <w:rsid w:val="00357A10"/>
    <w:rsid w:val="00366B08"/>
    <w:rsid w:val="00366E06"/>
    <w:rsid w:val="0036751E"/>
    <w:rsid w:val="00371538"/>
    <w:rsid w:val="003715DB"/>
    <w:rsid w:val="00382D92"/>
    <w:rsid w:val="00387A5F"/>
    <w:rsid w:val="0039184B"/>
    <w:rsid w:val="003A1B0E"/>
    <w:rsid w:val="003B0C88"/>
    <w:rsid w:val="003C29E4"/>
    <w:rsid w:val="003C3FF7"/>
    <w:rsid w:val="003C68AC"/>
    <w:rsid w:val="003D5634"/>
    <w:rsid w:val="003D6B80"/>
    <w:rsid w:val="003E0AC8"/>
    <w:rsid w:val="003E5508"/>
    <w:rsid w:val="003F3650"/>
    <w:rsid w:val="003F3EB8"/>
    <w:rsid w:val="003F4B65"/>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70065"/>
    <w:rsid w:val="00574AA4"/>
    <w:rsid w:val="00576020"/>
    <w:rsid w:val="00586AC5"/>
    <w:rsid w:val="005937C8"/>
    <w:rsid w:val="005938AC"/>
    <w:rsid w:val="005A3895"/>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B1A27"/>
    <w:rsid w:val="006B5E48"/>
    <w:rsid w:val="006B750D"/>
    <w:rsid w:val="006C3B39"/>
    <w:rsid w:val="006C4A26"/>
    <w:rsid w:val="006C67FA"/>
    <w:rsid w:val="006D3C72"/>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38D"/>
    <w:rsid w:val="007277C0"/>
    <w:rsid w:val="0073094D"/>
    <w:rsid w:val="00735915"/>
    <w:rsid w:val="00740BE5"/>
    <w:rsid w:val="00750265"/>
    <w:rsid w:val="00762416"/>
    <w:rsid w:val="00766F57"/>
    <w:rsid w:val="00770293"/>
    <w:rsid w:val="0077035F"/>
    <w:rsid w:val="00770C17"/>
    <w:rsid w:val="00771EB2"/>
    <w:rsid w:val="00772F11"/>
    <w:rsid w:val="00773A22"/>
    <w:rsid w:val="00786C98"/>
    <w:rsid w:val="00786EC5"/>
    <w:rsid w:val="007930D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06BF2"/>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6AF9"/>
    <w:rsid w:val="008A7169"/>
    <w:rsid w:val="008A757D"/>
    <w:rsid w:val="008B7C94"/>
    <w:rsid w:val="008C0456"/>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995"/>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032B"/>
    <w:rsid w:val="00A24207"/>
    <w:rsid w:val="00A24CAA"/>
    <w:rsid w:val="00A251E7"/>
    <w:rsid w:val="00A346DA"/>
    <w:rsid w:val="00A34C5E"/>
    <w:rsid w:val="00A4066B"/>
    <w:rsid w:val="00A41FC8"/>
    <w:rsid w:val="00A42F9C"/>
    <w:rsid w:val="00A431D7"/>
    <w:rsid w:val="00A46BC2"/>
    <w:rsid w:val="00A50E3A"/>
    <w:rsid w:val="00A51CEC"/>
    <w:rsid w:val="00A56E41"/>
    <w:rsid w:val="00A60052"/>
    <w:rsid w:val="00A6048F"/>
    <w:rsid w:val="00A7509E"/>
    <w:rsid w:val="00A76B2C"/>
    <w:rsid w:val="00A80234"/>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704AA"/>
    <w:rsid w:val="00B84CFA"/>
    <w:rsid w:val="00B85B77"/>
    <w:rsid w:val="00B87D92"/>
    <w:rsid w:val="00B9163D"/>
    <w:rsid w:val="00B96E54"/>
    <w:rsid w:val="00BA29AA"/>
    <w:rsid w:val="00BB0549"/>
    <w:rsid w:val="00BB5A2A"/>
    <w:rsid w:val="00BB727B"/>
    <w:rsid w:val="00BC04F9"/>
    <w:rsid w:val="00BC4703"/>
    <w:rsid w:val="00BC6E9C"/>
    <w:rsid w:val="00BC7E1F"/>
    <w:rsid w:val="00BD4034"/>
    <w:rsid w:val="00BE5AF9"/>
    <w:rsid w:val="00BF35AB"/>
    <w:rsid w:val="00BF5E3F"/>
    <w:rsid w:val="00BF7ACB"/>
    <w:rsid w:val="00BF7F80"/>
    <w:rsid w:val="00C0227C"/>
    <w:rsid w:val="00C063AA"/>
    <w:rsid w:val="00C26148"/>
    <w:rsid w:val="00C3756F"/>
    <w:rsid w:val="00C41194"/>
    <w:rsid w:val="00C4585E"/>
    <w:rsid w:val="00C461AD"/>
    <w:rsid w:val="00C47DA6"/>
    <w:rsid w:val="00C50944"/>
    <w:rsid w:val="00C52573"/>
    <w:rsid w:val="00C61949"/>
    <w:rsid w:val="00C640DD"/>
    <w:rsid w:val="00C70300"/>
    <w:rsid w:val="00C71939"/>
    <w:rsid w:val="00C723FE"/>
    <w:rsid w:val="00C82762"/>
    <w:rsid w:val="00C9010E"/>
    <w:rsid w:val="00C91D4D"/>
    <w:rsid w:val="00CA0154"/>
    <w:rsid w:val="00CA0E36"/>
    <w:rsid w:val="00CB41D7"/>
    <w:rsid w:val="00CB7B23"/>
    <w:rsid w:val="00CC285B"/>
    <w:rsid w:val="00CC603C"/>
    <w:rsid w:val="00CE4529"/>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2501"/>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B211A"/>
    <w:rsid w:val="00EB241F"/>
    <w:rsid w:val="00EC6D1A"/>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20AC"/>
    <w:rsid w:val="00FA3B21"/>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30E2B"/>
  <w15:docId w15:val="{9EE0B74E-F4A8-41FA-9529-E099256D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Michael  Plaatjies</cp:lastModifiedBy>
  <cp:revision>3</cp:revision>
  <cp:lastPrinted>2018-05-06T20:50:00Z</cp:lastPrinted>
  <dcterms:created xsi:type="dcterms:W3CDTF">2018-05-07T13:18:00Z</dcterms:created>
  <dcterms:modified xsi:type="dcterms:W3CDTF">2018-05-07T13:18:00Z</dcterms:modified>
</cp:coreProperties>
</file>